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2">
      <w:pPr>
        <w:spacing w:line="240" w:lineRule="auto"/>
        <w:rPr>
          <w:rFonts w:ascii="Aptos" w:cs="Aptos" w:eastAsia="Aptos" w:hAnsi="Aptos"/>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rtl w:val="0"/>
        </w:rPr>
        <w:t xml:space="preserve">15-21 Aprile, Milano</w:t>
      </w:r>
    </w:p>
    <w:p w:rsidR="00000000" w:rsidDel="00000000" w:rsidP="00000000" w:rsidRDefault="00000000" w:rsidRPr="00000000" w14:paraId="00000005">
      <w:pPr>
        <w:jc w:val="right"/>
        <w:rPr/>
      </w:pPr>
      <w:r w:rsidDel="00000000" w:rsidR="00000000" w:rsidRPr="00000000">
        <w:rPr>
          <w:rtl w:val="0"/>
        </w:rPr>
        <w:t xml:space="preserve">MDW2024 - Superstudio</w:t>
      </w:r>
    </w:p>
    <w:p w:rsidR="00000000" w:rsidDel="00000000" w:rsidP="00000000" w:rsidRDefault="00000000" w:rsidRPr="00000000" w14:paraId="00000006">
      <w:pPr>
        <w:spacing w:line="240" w:lineRule="auto"/>
        <w:jc w:val="right"/>
        <w:rPr>
          <w:rFonts w:ascii="Aptos" w:cs="Aptos" w:eastAsia="Aptos" w:hAnsi="Aptos"/>
          <w:sz w:val="24"/>
          <w:szCs w:val="24"/>
        </w:rPr>
      </w:pPr>
      <w:r w:rsidDel="00000000" w:rsidR="00000000" w:rsidRPr="00000000">
        <w:rPr>
          <w:rtl w:val="0"/>
        </w:rPr>
      </w:r>
    </w:p>
    <w:p w:rsidR="00000000" w:rsidDel="00000000" w:rsidP="00000000" w:rsidRDefault="00000000" w:rsidRPr="00000000" w14:paraId="00000007">
      <w:pPr>
        <w:spacing w:line="240" w:lineRule="auto"/>
        <w:jc w:val="center"/>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8">
      <w:pPr>
        <w:spacing w:line="240" w:lineRule="auto"/>
        <w:jc w:val="center"/>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9">
      <w:pPr>
        <w:spacing w:line="240" w:lineRule="auto"/>
        <w:jc w:val="center"/>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b w:val="1"/>
          <w:rtl w:val="0"/>
        </w:rPr>
        <w:t xml:space="preserve">GLOCAL</w:t>
      </w:r>
      <w:r w:rsidDel="00000000" w:rsidR="00000000" w:rsidRPr="00000000">
        <w:rPr>
          <w:b w:val="1"/>
          <w:rtl w:val="0"/>
        </w:rPr>
        <w:t xml:space="preserve"> &amp; Giulio Cappellini: un dialogo di design</w:t>
      </w:r>
    </w:p>
    <w:p w:rsidR="00000000" w:rsidDel="00000000" w:rsidP="00000000" w:rsidRDefault="00000000" w:rsidRPr="00000000" w14:paraId="0000000B">
      <w:pPr>
        <w:jc w:val="cente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Parte del nuovo progetto Atelier Mirage, presentato in occasione della MDW2024 nella cornice del Superstudio, la collezione Glocal rappresenta un’esplorazione dell'intersezione tra identità locale e influenza globale nel panorama del design contemporaneo, offrendo un nuovo punto di vista sull'interconnessione culturale e la ricchezza dell'artigianato tradizionale nel contesto di un mondo sempre più interconnesso.</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Dalla </w:t>
      </w:r>
      <w:r w:rsidDel="00000000" w:rsidR="00000000" w:rsidRPr="00000000">
        <w:rPr>
          <w:b w:val="1"/>
          <w:rtl w:val="0"/>
        </w:rPr>
        <w:t xml:space="preserve">collaborazione tra Mirage e Giulio Cappellini</w:t>
      </w:r>
      <w:r w:rsidDel="00000000" w:rsidR="00000000" w:rsidRPr="00000000">
        <w:rPr>
          <w:rtl w:val="0"/>
        </w:rPr>
        <w:t xml:space="preserve">, firma di primo piano del design Made in Italy, ri-nasce la collezione Glocal. L'ampliamento della gamma - presentato per la prima volta a Cersaie 2023 - include una varietà di nuovi colori e decorazioni materiche che ne reinterpretano l’ecletticità con codici estetici contemporanei.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Glocal è la collezione iconica di Mirage che trae ispirazione dal cemento rasato e incarna, a partire dal suo nome, la filosofia di un prodotto che coniuga una visione globale con i valori di una produzione locale Made in Italy. </w:t>
      </w:r>
    </w:p>
    <w:p w:rsidR="00000000" w:rsidDel="00000000" w:rsidP="00000000" w:rsidRDefault="00000000" w:rsidRPr="00000000" w14:paraId="00000011">
      <w:pPr>
        <w:rPr/>
      </w:pPr>
      <w:r w:rsidDel="00000000" w:rsidR="00000000" w:rsidRPr="00000000">
        <w:rPr>
          <w:rtl w:val="0"/>
        </w:rPr>
        <w:t xml:space="preserve">Il successo straordinario della collezione ha spinto Mirage a ripensare Glocal, scegliendo Giulio Cappellini per idearne il restyling. La collezione è stata arricchita e aggiornata, mantenendo intatta la sua identità originale e rivelando una versione ancora più contemporanea, che riflette in pieno l’eccellenza del design italiano Figura emblematica nel panorama del design italiano, il suo lavoro si contraddistingue a livello internazionale per un'attenzione scrupolosa ai dettagli e per la sua naturale capacità di unire innovazione e tradizione artigianale. </w:t>
      </w:r>
      <w:r w:rsidDel="00000000" w:rsidR="00000000" w:rsidRPr="00000000">
        <w:rPr/>
        <w:drawing>
          <wp:inline distB="0" distT="0" distL="0" distR="0">
            <wp:extent cx="5733415" cy="165735"/>
            <wp:effectExtent b="0" l="0" r="0" t="0"/>
            <wp:docPr descr="page1image66402736" id="892461746" name="image1.png"/>
            <a:graphic>
              <a:graphicData uri="http://schemas.openxmlformats.org/drawingml/2006/picture">
                <pic:pic>
                  <pic:nvPicPr>
                    <pic:cNvPr descr="page1image66402736" id="0" name="image1.png"/>
                    <pic:cNvPicPr preferRelativeResize="0"/>
                  </pic:nvPicPr>
                  <pic:blipFill>
                    <a:blip r:embed="rId7"/>
                    <a:srcRect b="0" l="0" r="0" t="0"/>
                    <a:stretch>
                      <a:fillRect/>
                    </a:stretch>
                  </pic:blipFill>
                  <pic:spPr>
                    <a:xfrm>
                      <a:off x="0" y="0"/>
                      <a:ext cx="5733415" cy="165735"/>
                    </a:xfrm>
                    <a:prstGeom prst="rect"/>
                    <a:ln/>
                  </pic:spPr>
                </pic:pic>
              </a:graphicData>
            </a:graphic>
          </wp:inline>
        </w:drawing>
      </w:r>
      <w:r w:rsidDel="00000000" w:rsidR="00000000" w:rsidRPr="00000000">
        <w:rPr>
          <w:rtl w:val="0"/>
        </w:rPr>
        <w:t xml:space="preserve">La gamma cromatica è stata ampliata con</w:t>
      </w:r>
      <w:r w:rsidDel="00000000" w:rsidR="00000000" w:rsidRPr="00000000">
        <w:rPr>
          <w:b w:val="1"/>
          <w:rtl w:val="0"/>
        </w:rPr>
        <w:t xml:space="preserve"> 8 nuovi colori</w:t>
      </w:r>
      <w:r w:rsidDel="00000000" w:rsidR="00000000" w:rsidRPr="00000000">
        <w:rPr>
          <w:rtl w:val="0"/>
        </w:rPr>
        <w:t xml:space="preserve"> ed </w:t>
      </w:r>
      <w:r w:rsidDel="00000000" w:rsidR="00000000" w:rsidRPr="00000000">
        <w:rPr>
          <w:b w:val="1"/>
          <w:rtl w:val="0"/>
        </w:rPr>
        <w:t xml:space="preserve">elementi decorativi contemporanei</w:t>
      </w:r>
      <w:r w:rsidDel="00000000" w:rsidR="00000000" w:rsidRPr="00000000">
        <w:rPr>
          <w:rtl w:val="0"/>
        </w:rPr>
        <w:t xml:space="preserve">. I grigi si attenuano, diventando meno ferrosi, più chiari e caldi, e in altre tonalità acquisiscono sfumature di azzurro, verde o terracotta. Tinte neutre ma decise, dalle nuance più morbide rispetto al passato, che donano personalità e nuova vita alla collezione. </w:t>
      </w:r>
    </w:p>
    <w:p w:rsidR="00000000" w:rsidDel="00000000" w:rsidP="00000000" w:rsidRDefault="00000000" w:rsidRPr="00000000" w14:paraId="00000012">
      <w:pPr>
        <w:rPr/>
      </w:pPr>
      <w:r w:rsidDel="00000000" w:rsidR="00000000" w:rsidRPr="00000000">
        <w:rPr>
          <w:rtl w:val="0"/>
        </w:rPr>
        <w:t xml:space="preserve">Il colore si anima sulla superficie grazie a dettagli tono su tono. </w:t>
      </w:r>
    </w:p>
    <w:p w:rsidR="00000000" w:rsidDel="00000000" w:rsidP="00000000" w:rsidRDefault="00000000" w:rsidRPr="00000000" w14:paraId="00000013">
      <w:pPr>
        <w:rPr/>
      </w:pPr>
      <w:r w:rsidDel="00000000" w:rsidR="00000000" w:rsidRPr="00000000">
        <w:rPr>
          <w:rtl w:val="0"/>
        </w:rPr>
        <w:t xml:space="preserve">Per le decorazioni, elementi tondi e quadrati ispirati alle moderne architetture, in particolare a quelle giapponesi, vengono impressi sulle lastre ricreando un effetto a bassorilievo. Le lavorazioni sono contraddistinte da una matericità, che alterna finiture ruvide e lisce ottenute con le ultime tecnologie di settore, ma che evocano la maestria della mano umana.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Alta Tecnologia ed artigianato, gli elementi su cui si fondano le eccellenze produttive italiane, si incontrano in questa nuova serie di interventi decorativi, trasformando le lastre in grès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porcellanato in veri e propri elementi architettonici che permettono di realizzare le più svariate composizioni.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Glocal si fa portatrice di una testimonianza dell’era post-industriale in cui l’industria, abituata a produrre in grande serie, si rende flessibile e pronta a rispondere alle richieste di personalizzazione espressive e progettuali. Una collezione rinnovata, che mantiene inalterato il suo spirito originario, incarna l'eccellenza del design italiano e si propone come un "classico senza tempo".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i w:val="1"/>
        </w:rPr>
      </w:pPr>
      <w:r w:rsidDel="00000000" w:rsidR="00000000" w:rsidRPr="00000000">
        <w:rPr>
          <w:i w:val="1"/>
          <w:rtl w:val="0"/>
        </w:rPr>
        <w:t xml:space="preserve">“Cappellini ha saputo condurre una rivisitazione rispettosa, arricchendo la collezione con nuovi elementi che valorizzano l'esistente, senza privare Glocal del suo originale fascino” spiega Massimiliano Croci, Direttore Marketing Mirage. “Collaborare con Cappellini, ci ha permesso di mettere in risalto e valorizzare i diversi aspetti di Glocal, rendendola una soluzione ancor più efficiente ed efficace per rispondere alle esigenze del progettista contemporaneo”.</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t xml:space="preserve">Specifiche tecniche per la collezione Glocal di Mirage: </w:t>
      </w:r>
    </w:p>
    <w:p w:rsidR="00000000" w:rsidDel="00000000" w:rsidP="00000000" w:rsidRDefault="00000000" w:rsidRPr="00000000" w14:paraId="00000022">
      <w:pPr>
        <w:numPr>
          <w:ilvl w:val="0"/>
          <w:numId w:val="1"/>
        </w:numPr>
        <w:ind w:left="720" w:hanging="360"/>
      </w:pPr>
      <w:r w:rsidDel="00000000" w:rsidR="00000000" w:rsidRPr="00000000">
        <w:rPr>
          <w:rtl w:val="0"/>
        </w:rPr>
        <w:t xml:space="preserve">20 colori </w:t>
      </w:r>
    </w:p>
    <w:p w:rsidR="00000000" w:rsidDel="00000000" w:rsidP="00000000" w:rsidRDefault="00000000" w:rsidRPr="00000000" w14:paraId="00000023">
      <w:pPr>
        <w:numPr>
          <w:ilvl w:val="0"/>
          <w:numId w:val="1"/>
        </w:numPr>
        <w:ind w:left="720" w:hanging="360"/>
      </w:pPr>
      <w:r w:rsidDel="00000000" w:rsidR="00000000" w:rsidRPr="00000000">
        <w:rPr>
          <w:rtl w:val="0"/>
        </w:rPr>
        <w:t xml:space="preserve">Formati: dal formato 30x30 al 120x278 cm, passando anche per soluzioni in termini di formato particolarmente contemporanee come l’80x80 o l’80x160. La gamma è arricchita anche da prodotti perfetti per l’applicazione in outdoor (progetto evo 2/e) . </w:t>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Decorazioni: soluzioni decorative contemporanee, abbinano il minimalismo essenziale del cemento ad audaci contrasti cromatici e variazioni superficiali.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br w:type="textWrapping"/>
      </w:r>
    </w:p>
    <w:p w:rsidR="00000000" w:rsidDel="00000000" w:rsidP="00000000" w:rsidRDefault="00000000" w:rsidRPr="00000000" w14:paraId="00000033">
      <w:pPr>
        <w:rPr>
          <w:i w:val="1"/>
          <w:sz w:val="20"/>
          <w:szCs w:val="20"/>
        </w:rPr>
      </w:pPr>
      <w:r w:rsidDel="00000000" w:rsidR="00000000" w:rsidRPr="00000000">
        <w:rPr>
          <w:i w:val="1"/>
          <w:sz w:val="20"/>
          <w:szCs w:val="20"/>
          <w:rtl w:val="0"/>
        </w:rPr>
        <w:t xml:space="preserve">Contatti</w:t>
      </w:r>
    </w:p>
    <w:p w:rsidR="00000000" w:rsidDel="00000000" w:rsidP="00000000" w:rsidRDefault="00000000" w:rsidRPr="00000000" w14:paraId="00000034">
      <w:pPr>
        <w:rPr>
          <w:i w:val="1"/>
          <w:sz w:val="20"/>
          <w:szCs w:val="20"/>
        </w:rPr>
      </w:pPr>
      <w:r w:rsidDel="00000000" w:rsidR="00000000" w:rsidRPr="00000000">
        <w:rPr>
          <w:i w:val="1"/>
          <w:sz w:val="20"/>
          <w:szCs w:val="20"/>
          <w:rtl w:val="0"/>
        </w:rPr>
        <w:t xml:space="preserve">54words – Ufficio Stampa e PR</w:t>
      </w:r>
    </w:p>
    <w:p w:rsidR="00000000" w:rsidDel="00000000" w:rsidP="00000000" w:rsidRDefault="00000000" w:rsidRPr="00000000" w14:paraId="00000035">
      <w:pPr>
        <w:rPr>
          <w:i w:val="1"/>
          <w:sz w:val="20"/>
          <w:szCs w:val="20"/>
        </w:rPr>
      </w:pPr>
      <w:r w:rsidDel="00000000" w:rsidR="00000000" w:rsidRPr="00000000">
        <w:rPr>
          <w:i w:val="1"/>
          <w:sz w:val="20"/>
          <w:szCs w:val="20"/>
          <w:rtl w:val="0"/>
        </w:rPr>
        <w:t xml:space="preserve">Serena Capasso – M +39 3401929764 – </w:t>
      </w:r>
      <w:hyperlink r:id="rId8">
        <w:r w:rsidDel="00000000" w:rsidR="00000000" w:rsidRPr="00000000">
          <w:rPr>
            <w:i w:val="1"/>
            <w:color w:val="1155cc"/>
            <w:sz w:val="20"/>
            <w:szCs w:val="20"/>
            <w:u w:val="single"/>
            <w:rtl w:val="0"/>
          </w:rPr>
          <w:t xml:space="preserve">serena@54words.net</w:t>
        </w:r>
      </w:hyperlink>
      <w:r w:rsidDel="00000000" w:rsidR="00000000" w:rsidRPr="00000000">
        <w:rPr>
          <w:rtl w:val="0"/>
        </w:rPr>
      </w:r>
    </w:p>
    <w:p w:rsidR="00000000" w:rsidDel="00000000" w:rsidP="00000000" w:rsidRDefault="00000000" w:rsidRPr="00000000" w14:paraId="00000036">
      <w:pPr>
        <w:rPr>
          <w:i w:val="1"/>
          <w:sz w:val="20"/>
          <w:szCs w:val="20"/>
        </w:rPr>
      </w:pPr>
      <w:r w:rsidDel="00000000" w:rsidR="00000000" w:rsidRPr="00000000">
        <w:rPr>
          <w:i w:val="1"/>
          <w:sz w:val="20"/>
          <w:szCs w:val="20"/>
          <w:rtl w:val="0"/>
        </w:rPr>
        <w:t xml:space="preserve">Anna Ronchini – M +39 3312914937 – </w:t>
      </w:r>
      <w:hyperlink r:id="rId9">
        <w:r w:rsidDel="00000000" w:rsidR="00000000" w:rsidRPr="00000000">
          <w:rPr>
            <w:i w:val="1"/>
            <w:color w:val="1155cc"/>
            <w:sz w:val="20"/>
            <w:szCs w:val="20"/>
            <w:u w:val="single"/>
            <w:rtl w:val="0"/>
          </w:rPr>
          <w:t xml:space="preserve">anna@54words.net</w:t>
        </w:r>
      </w:hyperlink>
      <w:r w:rsidDel="00000000" w:rsidR="00000000" w:rsidRPr="00000000">
        <w:rPr>
          <w:i w:val="1"/>
          <w:sz w:val="20"/>
          <w:szCs w:val="20"/>
          <w:rtl w:val="0"/>
        </w:rPr>
        <w:t xml:space="preserv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headerReference r:id="rId10" w:type="default"/>
      <w:pgSz w:h="16834" w:w="11909" w:orient="portrait"/>
      <w:pgMar w:bottom="1440" w:top="127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Aptos"/>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drawing>
        <wp:inline distB="0" distT="0" distL="0" distR="0">
          <wp:extent cx="1965800" cy="455036"/>
          <wp:effectExtent b="0" l="0" r="0" t="0"/>
          <wp:docPr descr="Immagine che contiene testo, Carattere, logo, bianco&#10;&#10;Descrizione generata automaticamente" id="892461747" name="image2.jpg"/>
          <a:graphic>
            <a:graphicData uri="http://schemas.openxmlformats.org/drawingml/2006/picture">
              <pic:pic>
                <pic:nvPicPr>
                  <pic:cNvPr descr="Immagine che contiene testo, Carattere, logo, bianco&#10;&#10;Descrizione generata automaticamente" id="0" name="image2.jpg"/>
                  <pic:cNvPicPr preferRelativeResize="0"/>
                </pic:nvPicPr>
                <pic:blipFill>
                  <a:blip r:embed="rId1"/>
                  <a:srcRect b="0" l="0" r="0" t="0"/>
                  <a:stretch>
                    <a:fillRect/>
                  </a:stretch>
                </pic:blipFill>
                <pic:spPr>
                  <a:xfrm>
                    <a:off x="0" y="0"/>
                    <a:ext cx="1965800" cy="45503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paragraph" w:styleId="Intestazione">
    <w:name w:val="header"/>
    <w:basedOn w:val="Normale"/>
    <w:link w:val="IntestazioneCarattere"/>
    <w:uiPriority w:val="99"/>
    <w:unhideWhenUsed w:val="1"/>
    <w:rsid w:val="00DE45D2"/>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DE45D2"/>
  </w:style>
  <w:style w:type="paragraph" w:styleId="Pidipagina">
    <w:name w:val="footer"/>
    <w:basedOn w:val="Normale"/>
    <w:link w:val="PidipaginaCarattere"/>
    <w:uiPriority w:val="99"/>
    <w:unhideWhenUsed w:val="1"/>
    <w:rsid w:val="00DE45D2"/>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DE45D2"/>
  </w:style>
  <w:style w:type="paragraph" w:styleId="NormaleWeb">
    <w:name w:val="Normal (Web)"/>
    <w:basedOn w:val="Normale"/>
    <w:uiPriority w:val="99"/>
    <w:semiHidden w:val="1"/>
    <w:unhideWhenUsed w:val="1"/>
    <w:rsid w:val="00C44BDF"/>
    <w:pPr>
      <w:spacing w:after="100" w:afterAutospacing="1" w:before="100" w:beforeAutospacing="1" w:line="240" w:lineRule="auto"/>
    </w:pPr>
    <w:rPr>
      <w:rFonts w:ascii="Times New Roman" w:cs="Times New Roman" w:eastAsia="Times New Roman" w:hAnsi="Times New Roman"/>
      <w:sz w:val="24"/>
      <w:szCs w:val="24"/>
      <w:lang w:val="it-IT"/>
    </w:rPr>
  </w:style>
  <w:style w:type="paragraph" w:styleId="Contact" w:customStyle="1">
    <w:name w:val="Contact"/>
    <w:qFormat w:val="1"/>
    <w:rsid w:val="003029BE"/>
    <w:pPr>
      <w:spacing w:line="240" w:lineRule="auto"/>
    </w:pPr>
    <w:rPr>
      <w:rFonts w:eastAsia="Calibri"/>
      <w:bCs w:val="1"/>
      <w:lang w:eastAsia="en-US" w:val="es-ES_tradnl"/>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anna@54words.ne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serena@54words.n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mf/3QJk1gaN7kA/9W/kH6ttNg==">CgMxLjAyCGguZ2pkZ3hzOAByITE2V1FnM0pqamJOXzdWbzk2U2NFeXZvY2prZ1dXZGhhVA==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2024-02-29T12:44:00Z</dcterms:created>
</cp:coreProperties>
</file>